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D5148" w14:textId="13D70187" w:rsidR="00E75FEB" w:rsidRDefault="00A2535F" w:rsidP="00E75FEB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A22FD8" wp14:editId="52DF3919">
            <wp:simplePos x="0" y="0"/>
            <wp:positionH relativeFrom="column">
              <wp:posOffset>157480</wp:posOffset>
            </wp:positionH>
            <wp:positionV relativeFrom="paragraph">
              <wp:posOffset>1905</wp:posOffset>
            </wp:positionV>
            <wp:extent cx="1133475" cy="113347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5FEB">
        <w:rPr>
          <w:noProof/>
        </w:rPr>
        <w:drawing>
          <wp:anchor distT="0" distB="0" distL="114300" distR="114300" simplePos="0" relativeHeight="251659264" behindDoc="1" locked="0" layoutInCell="1" allowOverlap="1" wp14:anchorId="242E03A9" wp14:editId="22FF7215">
            <wp:simplePos x="0" y="0"/>
            <wp:positionH relativeFrom="margin">
              <wp:posOffset>4110355</wp:posOffset>
            </wp:positionH>
            <wp:positionV relativeFrom="paragraph">
              <wp:posOffset>-807720</wp:posOffset>
            </wp:positionV>
            <wp:extent cx="2476500" cy="1760424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915"/>
                    <a:stretch/>
                  </pic:blipFill>
                  <pic:spPr bwMode="auto">
                    <a:xfrm>
                      <a:off x="0" y="0"/>
                      <a:ext cx="2479941" cy="1762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FEB">
        <w:rPr>
          <w:noProof/>
        </w:rPr>
        <w:drawing>
          <wp:anchor distT="0" distB="0" distL="114300" distR="114300" simplePos="0" relativeHeight="251660288" behindDoc="1" locked="0" layoutInCell="1" allowOverlap="1" wp14:anchorId="7678AAEF" wp14:editId="0B831011">
            <wp:simplePos x="0" y="0"/>
            <wp:positionH relativeFrom="column">
              <wp:posOffset>1140290</wp:posOffset>
            </wp:positionH>
            <wp:positionV relativeFrom="paragraph">
              <wp:posOffset>-6189</wp:posOffset>
            </wp:positionV>
            <wp:extent cx="3048000" cy="771525"/>
            <wp:effectExtent l="0" t="0" r="0" b="952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FCB11" w14:textId="77777777" w:rsidR="00E75FEB" w:rsidRDefault="00E75FEB" w:rsidP="00E75FEB">
      <w:pPr>
        <w:jc w:val="both"/>
      </w:pPr>
    </w:p>
    <w:p w14:paraId="3B1D144C" w14:textId="4EFD73CA" w:rsidR="00E75FEB" w:rsidRDefault="00A2535F" w:rsidP="00A2535F">
      <w:pPr>
        <w:tabs>
          <w:tab w:val="left" w:pos="7920"/>
        </w:tabs>
        <w:jc w:val="both"/>
      </w:pPr>
      <w:r>
        <w:tab/>
      </w:r>
    </w:p>
    <w:p w14:paraId="565FAF4E" w14:textId="77777777" w:rsidR="00E75FEB" w:rsidRDefault="00E75FEB" w:rsidP="00E75FEB">
      <w:pPr>
        <w:jc w:val="both"/>
      </w:pPr>
    </w:p>
    <w:p w14:paraId="2145510F" w14:textId="77777777" w:rsidR="00E75FEB" w:rsidRDefault="00E75FEB" w:rsidP="00E75FEB">
      <w:pPr>
        <w:jc w:val="both"/>
      </w:pPr>
    </w:p>
    <w:p w14:paraId="54390D16" w14:textId="6924A6A5" w:rsidR="005D739C" w:rsidRPr="005D739C" w:rsidRDefault="005D739C" w:rsidP="005D739C">
      <w:pPr>
        <w:jc w:val="center"/>
        <w:rPr>
          <w:b/>
          <w:bCs/>
          <w:sz w:val="32"/>
          <w:szCs w:val="32"/>
        </w:rPr>
      </w:pPr>
      <w:r w:rsidRPr="005D739C">
        <w:rPr>
          <w:b/>
          <w:bCs/>
          <w:sz w:val="32"/>
          <w:szCs w:val="32"/>
        </w:rPr>
        <w:t xml:space="preserve">MedTech Polska partnerem cyklu szkoleń </w:t>
      </w:r>
      <w:r>
        <w:rPr>
          <w:b/>
          <w:bCs/>
          <w:sz w:val="32"/>
          <w:szCs w:val="32"/>
        </w:rPr>
        <w:br/>
      </w:r>
      <w:r w:rsidRPr="005D739C">
        <w:rPr>
          <w:b/>
          <w:bCs/>
          <w:sz w:val="32"/>
          <w:szCs w:val="32"/>
        </w:rPr>
        <w:t>z zakresu medycyny laboratoryjnej dla lekarzy POZ</w:t>
      </w:r>
    </w:p>
    <w:p w14:paraId="70B08C2C" w14:textId="5A8F2582" w:rsidR="00AC0B8D" w:rsidRDefault="0011221D" w:rsidP="00E75FEB">
      <w:pPr>
        <w:jc w:val="both"/>
      </w:pPr>
      <w:r w:rsidRPr="00566EE2">
        <w:t>L</w:t>
      </w:r>
      <w:r w:rsidR="00736C0D" w:rsidRPr="00566EE2">
        <w:t>aboratoryjn</w:t>
      </w:r>
      <w:r w:rsidR="00566EE2" w:rsidRPr="00566EE2">
        <w:t>a</w:t>
      </w:r>
      <w:r w:rsidR="00736C0D" w:rsidRPr="00566EE2">
        <w:t xml:space="preserve"> </w:t>
      </w:r>
      <w:r w:rsidR="00566EE2" w:rsidRPr="00566EE2">
        <w:t>informacja di</w:t>
      </w:r>
      <w:r w:rsidR="00736C0D" w:rsidRPr="00566EE2">
        <w:t>agnostyczn</w:t>
      </w:r>
      <w:r w:rsidR="00566EE2" w:rsidRPr="00566EE2">
        <w:t>a</w:t>
      </w:r>
      <w:r w:rsidRPr="00566EE2">
        <w:t xml:space="preserve"> i jej wartość</w:t>
      </w:r>
      <w:r w:rsidR="00566EE2">
        <w:t>,</w:t>
      </w:r>
      <w:r w:rsidRPr="00566EE2">
        <w:t xml:space="preserve"> </w:t>
      </w:r>
      <w:r w:rsidR="00566EE2" w:rsidRPr="00566EE2">
        <w:t>odgrywają</w:t>
      </w:r>
      <w:r w:rsidR="00E75FEB" w:rsidRPr="00566EE2">
        <w:t xml:space="preserve"> istotną rolę w postępowaniu z pacjentem, dostarczając niezbędnych danych do postawienia rozpoznania, zastosowania odpowiedniej terapii czy jej monitorowania. </w:t>
      </w:r>
      <w:r w:rsidR="00BD572D" w:rsidRPr="00566EE2">
        <w:t xml:space="preserve">Istnieje konieczność ścisłej współpracy pomiędzy </w:t>
      </w:r>
      <w:r w:rsidR="00736C0D" w:rsidRPr="00566EE2">
        <w:t>specjalistami medycyny laboratoryjnej</w:t>
      </w:r>
      <w:r w:rsidR="00736C0D">
        <w:t xml:space="preserve"> </w:t>
      </w:r>
      <w:r w:rsidR="00BD572D" w:rsidRPr="00E75FEB">
        <w:t>a lekarzami w procesie diagnozowania</w:t>
      </w:r>
      <w:r w:rsidR="00AC0B8D">
        <w:t xml:space="preserve">, </w:t>
      </w:r>
      <w:r w:rsidR="00BD572D" w:rsidRPr="00E75FEB">
        <w:t>leczenia chorych</w:t>
      </w:r>
      <w:r w:rsidR="00AC0B8D">
        <w:t>, jak również w szeroko pojętej profilaktyce chorób cywilizacyjnych.</w:t>
      </w:r>
    </w:p>
    <w:p w14:paraId="378EDE9A" w14:textId="133C52F1" w:rsidR="00E632D1" w:rsidRDefault="00BD572D" w:rsidP="00E75FEB">
      <w:pPr>
        <w:jc w:val="both"/>
      </w:pPr>
      <w:r>
        <w:t xml:space="preserve">Ogromną rolę odgrywa w tym procesie edukacja lekarzy POZ w zakresie możliwości medycyny laboratoryjnej, która </w:t>
      </w:r>
      <w:r w:rsidR="00AC0B8D">
        <w:t xml:space="preserve">już dziś </w:t>
      </w:r>
      <w:r>
        <w:t>pozwala na g</w:t>
      </w:r>
      <w:r w:rsidR="00E75FEB" w:rsidRPr="00E75FEB">
        <w:t xml:space="preserve">enerowanie </w:t>
      </w:r>
      <w:r w:rsidR="00AC0B8D">
        <w:t>precyzyjn</w:t>
      </w:r>
      <w:r w:rsidR="00930237">
        <w:t>ej</w:t>
      </w:r>
      <w:r w:rsidR="00E75FEB" w:rsidRPr="00E75FEB">
        <w:t xml:space="preserve"> i </w:t>
      </w:r>
      <w:r w:rsidR="00736C0D">
        <w:t>szybko dostępnej</w:t>
      </w:r>
      <w:r w:rsidR="00E75FEB" w:rsidRPr="00E75FEB">
        <w:t xml:space="preserve"> </w:t>
      </w:r>
      <w:r w:rsidR="00736C0D">
        <w:t>informacji diagnostycznej</w:t>
      </w:r>
      <w:r w:rsidR="00566EE2">
        <w:t>,</w:t>
      </w:r>
      <w:r w:rsidR="00736C0D">
        <w:t xml:space="preserve"> co </w:t>
      </w:r>
      <w:r w:rsidR="00E75FEB" w:rsidRPr="00E75FEB">
        <w:t xml:space="preserve">stanowi </w:t>
      </w:r>
      <w:r w:rsidR="00AC0B8D">
        <w:t xml:space="preserve">kluczowy </w:t>
      </w:r>
      <w:r w:rsidR="00E75FEB" w:rsidRPr="00E75FEB">
        <w:t>element procesu diagnostyczno-terapeutycznego</w:t>
      </w:r>
      <w:r>
        <w:t>.</w:t>
      </w:r>
      <w:r w:rsidR="00E75FEB" w:rsidRPr="00E75FEB">
        <w:t xml:space="preserve"> </w:t>
      </w:r>
    </w:p>
    <w:p w14:paraId="71B4752D" w14:textId="2239C54B" w:rsidR="00643275" w:rsidRPr="00930237" w:rsidRDefault="005D739C" w:rsidP="00410986">
      <w:pPr>
        <w:jc w:val="both"/>
        <w:rPr>
          <w:b/>
          <w:bCs/>
        </w:rPr>
      </w:pPr>
      <w:r>
        <w:t>W odpowiedzi na</w:t>
      </w:r>
      <w:r w:rsidR="00410986">
        <w:t xml:space="preserve"> </w:t>
      </w:r>
      <w:r>
        <w:t xml:space="preserve">tę potrzebę Centralny </w:t>
      </w:r>
      <w:r w:rsidRPr="005D739C">
        <w:t xml:space="preserve">Ośrodek </w:t>
      </w:r>
      <w:r>
        <w:t xml:space="preserve">Badań, Innowacji i </w:t>
      </w:r>
      <w:r w:rsidRPr="005D739C">
        <w:t>Kształcenia Naczelnej Izby Lekarskiej</w:t>
      </w:r>
      <w:r w:rsidR="00AC0B8D">
        <w:t xml:space="preserve"> wspó</w:t>
      </w:r>
      <w:r w:rsidR="00011B7B">
        <w:t>l</w:t>
      </w:r>
      <w:r w:rsidR="00AC0B8D">
        <w:t>nie z</w:t>
      </w:r>
      <w:r w:rsidR="00410986">
        <w:t xml:space="preserve"> Stowarzyszenie</w:t>
      </w:r>
      <w:r w:rsidR="00AC0B8D">
        <w:t>m</w:t>
      </w:r>
      <w:r w:rsidR="00410986">
        <w:t xml:space="preserve"> MedTech</w:t>
      </w:r>
      <w:r w:rsidR="00011B7B">
        <w:t xml:space="preserve"> </w:t>
      </w:r>
      <w:r w:rsidR="00410986">
        <w:t>Polska</w:t>
      </w:r>
      <w:r w:rsidR="00AC0B8D">
        <w:t xml:space="preserve"> przygotował cykl trzech szkoleń on-line </w:t>
      </w:r>
      <w:r w:rsidR="00AC0B8D" w:rsidRPr="00930237">
        <w:rPr>
          <w:b/>
          <w:bCs/>
        </w:rPr>
        <w:t>skierowanych do lekarzy POZ</w:t>
      </w:r>
      <w:r w:rsidR="00011B7B" w:rsidRPr="00930237">
        <w:rPr>
          <w:b/>
          <w:bCs/>
        </w:rPr>
        <w:t>.</w:t>
      </w:r>
    </w:p>
    <w:p w14:paraId="36E0CEE0" w14:textId="77777777" w:rsidR="00566EE2" w:rsidRDefault="00011B7B" w:rsidP="00410986">
      <w:pPr>
        <w:jc w:val="both"/>
      </w:pPr>
      <w:r>
        <w:t>Partnerem merytorycznym</w:t>
      </w:r>
      <w:r w:rsidR="00566EE2">
        <w:t>,</w:t>
      </w:r>
      <w:r>
        <w:t xml:space="preserve"> dzięki któremu ta cenna edukacyjna inicjatywa będzie możliwa</w:t>
      </w:r>
      <w:r w:rsidR="00566EE2">
        <w:t>,</w:t>
      </w:r>
      <w:r>
        <w:t xml:space="preserve"> jest Polskie Towarzystwo Diagnostyki Laboratoryjnej</w:t>
      </w:r>
      <w:r w:rsidR="00736C0D">
        <w:t>.</w:t>
      </w:r>
      <w:r>
        <w:t xml:space="preserve"> </w:t>
      </w:r>
      <w:r w:rsidR="00736C0D">
        <w:t>C</w:t>
      </w:r>
      <w:r>
        <w:t>zołowi eksperci ds. medycyny laboratoryjnej PTD</w:t>
      </w:r>
      <w:r w:rsidR="009C259E">
        <w:t>L</w:t>
      </w:r>
      <w:r>
        <w:t xml:space="preserve"> podzielą się </w:t>
      </w:r>
      <w:r w:rsidR="00930237">
        <w:t>z Państwem najnowszą wiedzą</w:t>
      </w:r>
      <w:r w:rsidR="00566EE2">
        <w:t xml:space="preserve">. </w:t>
      </w:r>
    </w:p>
    <w:p w14:paraId="4EC7DDCD" w14:textId="49AB37F1" w:rsidR="00BD572D" w:rsidRDefault="00410986" w:rsidP="00410986">
      <w:pPr>
        <w:jc w:val="both"/>
      </w:pPr>
      <w:r w:rsidRPr="00566EE2">
        <w:rPr>
          <w:b/>
          <w:bCs/>
        </w:rPr>
        <w:t>Pierwsze z zaplanowanych spotkań odbędzie się 30.03.2023</w:t>
      </w:r>
      <w:r w:rsidR="00566EE2" w:rsidRPr="00566EE2">
        <w:rPr>
          <w:b/>
          <w:bCs/>
        </w:rPr>
        <w:t xml:space="preserve"> r.</w:t>
      </w:r>
      <w:r w:rsidRPr="00566EE2">
        <w:rPr>
          <w:b/>
          <w:bCs/>
        </w:rPr>
        <w:t xml:space="preserve"> w godz. 17:00-20:00</w:t>
      </w:r>
      <w:r>
        <w:t xml:space="preserve">. </w:t>
      </w:r>
      <w:r w:rsidR="00011B7B">
        <w:t xml:space="preserve">Wykład wprowadzający </w:t>
      </w:r>
      <w:r w:rsidR="009C259E">
        <w:t>wygłosi</w:t>
      </w:r>
      <w:r w:rsidR="00011B7B">
        <w:t xml:space="preserve"> d</w:t>
      </w:r>
      <w:r w:rsidR="00011B7B" w:rsidRPr="00410986">
        <w:t>r hab. n. med. Katarzyna Winsz-Szczotka</w:t>
      </w:r>
      <w:r w:rsidR="00011B7B">
        <w:t>, p</w:t>
      </w:r>
      <w:r w:rsidR="00011B7B" w:rsidRPr="00410986">
        <w:t>rof. SUM, Prezes Polskiego Towarzystwa Diagnostyki Laboratoryjnej</w:t>
      </w:r>
      <w:r w:rsidR="00566EE2">
        <w:t>.</w:t>
      </w:r>
      <w:r w:rsidR="00011B7B">
        <w:t xml:space="preserve"> </w:t>
      </w:r>
      <w:r>
        <w:t xml:space="preserve">Szkolenie poprowadzi </w:t>
      </w:r>
      <w:r w:rsidRPr="00410986">
        <w:t>dr n. med. Ewa Czernik, diagnosta laboratoryjny, członek PTDL</w:t>
      </w:r>
      <w:r>
        <w:t>. W ramach szkolenia zostaną poruszone następujące zagadnienia:</w:t>
      </w:r>
    </w:p>
    <w:p w14:paraId="01638CD3" w14:textId="77777777" w:rsidR="00410986" w:rsidRDefault="00410986" w:rsidP="00410986">
      <w:pPr>
        <w:pStyle w:val="Akapitzlist"/>
        <w:numPr>
          <w:ilvl w:val="0"/>
          <w:numId w:val="1"/>
        </w:numPr>
        <w:jc w:val="both"/>
      </w:pPr>
      <w:r>
        <w:t>nowe parametry w rutynowym badaniu morfologii krwi obwodowej</w:t>
      </w:r>
    </w:p>
    <w:p w14:paraId="631E3120" w14:textId="77777777" w:rsidR="00410986" w:rsidRDefault="00410986" w:rsidP="00410986">
      <w:pPr>
        <w:pStyle w:val="Akapitzlist"/>
        <w:numPr>
          <w:ilvl w:val="0"/>
          <w:numId w:val="1"/>
        </w:numPr>
        <w:jc w:val="both"/>
      </w:pPr>
      <w:r>
        <w:t>kiedy należy zlecić rozmaz krwi obwodowej – rekomendacje ISLH</w:t>
      </w:r>
    </w:p>
    <w:p w14:paraId="184F747E" w14:textId="77777777" w:rsidR="00410986" w:rsidRDefault="00410986" w:rsidP="00410986">
      <w:pPr>
        <w:pStyle w:val="Akapitzlist"/>
        <w:numPr>
          <w:ilvl w:val="0"/>
          <w:numId w:val="1"/>
        </w:numPr>
        <w:jc w:val="both"/>
      </w:pPr>
      <w:r>
        <w:t>różnice pomiędzy rozmazem automatycznym, a manualnym</w:t>
      </w:r>
    </w:p>
    <w:p w14:paraId="3B34B8E0" w14:textId="77777777" w:rsidR="00410986" w:rsidRDefault="00410986" w:rsidP="00410986">
      <w:pPr>
        <w:pStyle w:val="Akapitzlist"/>
        <w:numPr>
          <w:ilvl w:val="0"/>
          <w:numId w:val="1"/>
        </w:numPr>
        <w:jc w:val="both"/>
      </w:pPr>
      <w:r>
        <w:t>przydatność w diagnostyce stanów zapalnych</w:t>
      </w:r>
    </w:p>
    <w:p w14:paraId="70A53E91" w14:textId="77777777" w:rsidR="00410986" w:rsidRDefault="00410986" w:rsidP="00410986">
      <w:pPr>
        <w:pStyle w:val="Akapitzlist"/>
        <w:numPr>
          <w:ilvl w:val="0"/>
          <w:numId w:val="1"/>
        </w:numPr>
        <w:jc w:val="both"/>
      </w:pPr>
      <w:r>
        <w:t>przydatność w diagnostyce chorób rozrostowych</w:t>
      </w:r>
    </w:p>
    <w:p w14:paraId="2CDB6D41" w14:textId="2C3D6A9D" w:rsidR="00410986" w:rsidRDefault="00410986" w:rsidP="00410986">
      <w:pPr>
        <w:pStyle w:val="Akapitzlist"/>
        <w:numPr>
          <w:ilvl w:val="0"/>
          <w:numId w:val="1"/>
        </w:numPr>
        <w:jc w:val="both"/>
      </w:pPr>
      <w:r>
        <w:t>diagnostyka różnicowa przy wykorzystaniu parametrów morfologii krwi obwodowej</w:t>
      </w:r>
    </w:p>
    <w:p w14:paraId="332978B3" w14:textId="42520CFD" w:rsidR="009C259E" w:rsidRDefault="009C259E" w:rsidP="009C259E">
      <w:pPr>
        <w:jc w:val="both"/>
      </w:pPr>
      <w:r w:rsidRPr="00266286">
        <w:rPr>
          <w:b/>
        </w:rPr>
        <w:t>Laboratoryjne badanie mikrobiologiczne podstawą racjonalnej antybiotykoterapii</w:t>
      </w:r>
      <w:r>
        <w:t xml:space="preserve">  to temat drugiego spotkania edukacyjnego, które poprowadzi dr hab. n. med. Anna Mertas, prof. SUM, diagnosta laboratoryjny, Wiceprezes PTDL.</w:t>
      </w:r>
    </w:p>
    <w:p w14:paraId="09D399DD" w14:textId="488E0186" w:rsidR="009C259E" w:rsidRDefault="009C259E" w:rsidP="009C259E">
      <w:r>
        <w:t xml:space="preserve">Wykładowcą 3. szkolenia </w:t>
      </w:r>
      <w:r w:rsidRPr="00266286">
        <w:rPr>
          <w:b/>
        </w:rPr>
        <w:t>Profil lipidowy w praktyce lekarza POZ</w:t>
      </w:r>
      <w:r>
        <w:t xml:space="preserve"> będzie prof. dr hab. n. med. Bogdan Solnica, lekarz, diagnosta laboratoryjny, Wiceprezes PTDL.</w:t>
      </w:r>
    </w:p>
    <w:p w14:paraId="6CD27B24" w14:textId="1956CBEC" w:rsidR="009C259E" w:rsidRPr="009C259E" w:rsidRDefault="009C259E" w:rsidP="009C259E">
      <w:pPr>
        <w:rPr>
          <w:u w:val="single"/>
        </w:rPr>
      </w:pPr>
      <w:r w:rsidRPr="009C259E">
        <w:rPr>
          <w:u w:val="single"/>
        </w:rPr>
        <w:t>Terminy drugiego i trzeciego wydarzenia będą dostępne wkrótce.</w:t>
      </w:r>
    </w:p>
    <w:p w14:paraId="0AF98319" w14:textId="6C831BB2" w:rsidR="00410986" w:rsidRDefault="00410986" w:rsidP="00410986">
      <w:pPr>
        <w:jc w:val="both"/>
      </w:pPr>
      <w:r>
        <w:t xml:space="preserve">By wziąć udział w wydarzeniu, należy zarejestrować się poprzez formularz dostępny na stronie: </w:t>
      </w:r>
      <w:hyperlink r:id="rId8" w:history="1">
        <w:r w:rsidRPr="00410986">
          <w:rPr>
            <w:rStyle w:val="Hipercze"/>
          </w:rPr>
          <w:t>nil.org.pl/dla-lekarzy/kursy-i-szkolenia</w:t>
        </w:r>
      </w:hyperlink>
      <w:r w:rsidR="009C259E">
        <w:rPr>
          <w:rStyle w:val="Hipercze"/>
        </w:rPr>
        <w:t>.</w:t>
      </w:r>
    </w:p>
    <w:p w14:paraId="296C1380" w14:textId="77777777" w:rsidR="00410986" w:rsidRDefault="00410986" w:rsidP="00410986">
      <w:pPr>
        <w:jc w:val="both"/>
      </w:pPr>
    </w:p>
    <w:sectPr w:rsidR="00410986" w:rsidSect="00566EE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62155"/>
    <w:multiLevelType w:val="hybridMultilevel"/>
    <w:tmpl w:val="C63CA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79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D6"/>
    <w:rsid w:val="00011B7B"/>
    <w:rsid w:val="0011221D"/>
    <w:rsid w:val="002F67AD"/>
    <w:rsid w:val="00410986"/>
    <w:rsid w:val="00566EE2"/>
    <w:rsid w:val="005D739C"/>
    <w:rsid w:val="00643275"/>
    <w:rsid w:val="00650E9C"/>
    <w:rsid w:val="00736C0D"/>
    <w:rsid w:val="00930237"/>
    <w:rsid w:val="009C259E"/>
    <w:rsid w:val="00A2535F"/>
    <w:rsid w:val="00AC0B8D"/>
    <w:rsid w:val="00BD572D"/>
    <w:rsid w:val="00E632D1"/>
    <w:rsid w:val="00E75FEB"/>
    <w:rsid w:val="00FD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640BF"/>
  <w15:chartTrackingRefBased/>
  <w15:docId w15:val="{E17DD0A4-E9EF-4FD0-9EA1-BA428B6C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09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098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098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66E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l.org.pl/dla-lekarzy/kursy-i-szkolenia/682-morfologia-krwi-obwodowej-przydatnosc-wyniku-wieloparametrowego-w-rutynowej-diagnosty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Content</dc:creator>
  <cp:keywords/>
  <dc:description/>
  <cp:lastModifiedBy>Patrycja Jakubiec</cp:lastModifiedBy>
  <cp:revision>2</cp:revision>
  <cp:lastPrinted>2023-02-15T11:10:00Z</cp:lastPrinted>
  <dcterms:created xsi:type="dcterms:W3CDTF">2023-02-15T11:11:00Z</dcterms:created>
  <dcterms:modified xsi:type="dcterms:W3CDTF">2023-02-15T11:11:00Z</dcterms:modified>
</cp:coreProperties>
</file>